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 xml:space="preserve">zákonných a neetických zisků, důvěryhodnost dodavatele z hlediska sídla podnikání a realizace finančních transakcí (sídlo dodavatele nebo platební instituce, kterou používá, </w:t>
      </w:r>
      <w:r w:rsidR="00D83FCE" w:rsidRPr="00545759">
        <w:rPr>
          <w:rFonts w:ascii="Arial" w:hAnsi="Arial" w:cs="Arial"/>
          <w:sz w:val="22"/>
        </w:rPr>
        <w:lastRenderedPageBreak/>
        <w:t>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675236">
      <w:headerReference w:type="default" r:id="rId9"/>
      <w:foot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A8C47D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675236">
      <w:t>. 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75236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Vithová Miroslava Ing.</cp:lastModifiedBy>
  <cp:revision>8</cp:revision>
  <dcterms:created xsi:type="dcterms:W3CDTF">2022-02-20T09:17:00Z</dcterms:created>
  <dcterms:modified xsi:type="dcterms:W3CDTF">2025-03-19T13:39:00Z</dcterms:modified>
</cp:coreProperties>
</file>